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F9" w:rsidRPr="00525EEB" w:rsidRDefault="00F45CF9" w:rsidP="00F45CF9">
      <w:pPr>
        <w:jc w:val="center"/>
        <w:rPr>
          <w:rFonts w:ascii="Verdana" w:hAnsi="Verdana" w:cs="Tahoma"/>
          <w:b/>
          <w:color w:val="1F497D" w:themeColor="text2"/>
        </w:rPr>
      </w:pPr>
      <w:r>
        <w:rPr>
          <w:rFonts w:ascii="Verdana" w:hAnsi="Verdana" w:cs="Tahoma"/>
          <w:b/>
          <w:noProof/>
          <w:color w:val="1F497D" w:themeColor="text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-84455</wp:posOffset>
            </wp:positionV>
            <wp:extent cx="843915" cy="738505"/>
            <wp:effectExtent l="19050" t="0" r="0" b="0"/>
            <wp:wrapSquare wrapText="left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Tahoma"/>
          <w:b/>
          <w:color w:val="1F497D" w:themeColor="text2"/>
        </w:rPr>
        <w:t>And</w:t>
      </w:r>
    </w:p>
    <w:p w:rsidR="00F45CF9" w:rsidRPr="0028057F" w:rsidRDefault="00F45CF9" w:rsidP="00F45CF9">
      <w:pPr>
        <w:jc w:val="right"/>
        <w:rPr>
          <w:rFonts w:ascii="Verdana" w:hAnsi="Verdana"/>
          <w:color w:val="666699"/>
          <w:sz w:val="16"/>
          <w:szCs w:val="16"/>
          <w:lang w:val="pt-BR"/>
        </w:rPr>
      </w:pPr>
    </w:p>
    <w:p w:rsidR="00F45CF9" w:rsidRPr="00D97E1A" w:rsidRDefault="00F45CF9" w:rsidP="00F45CF9">
      <w:pPr>
        <w:autoSpaceDE w:val="0"/>
        <w:autoSpaceDN w:val="0"/>
        <w:adjustRightInd w:val="0"/>
        <w:rPr>
          <w:rFonts w:ascii="Verdana" w:eastAsia="MS UI Gothic" w:hAnsi="Verdana" w:cs="Aharoni"/>
          <w:b/>
          <w:color w:val="046594"/>
          <w:lang w:eastAsia="bg-BG"/>
        </w:rPr>
      </w:pPr>
      <w:r w:rsidRPr="00D97E1A">
        <w:rPr>
          <w:rFonts w:ascii="Verdana" w:eastAsia="MS UI Gothic" w:hAnsi="Verdana" w:cs="Aharoni"/>
          <w:b/>
          <w:color w:val="046594"/>
          <w:lang w:val="bg-BG" w:eastAsia="bg-BG"/>
        </w:rPr>
        <w:t>EUROPEAN</w:t>
      </w:r>
      <w:r w:rsidRPr="00D97E1A">
        <w:rPr>
          <w:rFonts w:ascii="Verdana" w:eastAsia="MS UI Gothic" w:hAnsi="Verdana" w:cs="Aharoni"/>
          <w:b/>
          <w:color w:val="046594"/>
          <w:lang w:eastAsia="bg-BG"/>
        </w:rPr>
        <w:t xml:space="preserve"> </w:t>
      </w:r>
      <w:r w:rsidRPr="00D97E1A">
        <w:rPr>
          <w:rFonts w:ascii="Verdana" w:eastAsia="MS UI Gothic" w:hAnsi="Verdana" w:cs="Aharoni"/>
          <w:b/>
          <w:color w:val="046594"/>
          <w:lang w:val="bg-BG" w:eastAsia="bg-BG"/>
        </w:rPr>
        <w:t>MANAGEMENT</w:t>
      </w:r>
      <w:r w:rsidRPr="00D97E1A">
        <w:rPr>
          <w:rFonts w:ascii="Verdana" w:eastAsia="MS UI Gothic" w:hAnsi="Verdana" w:cs="Aharoni"/>
          <w:b/>
          <w:color w:val="046594"/>
          <w:lang w:eastAsia="bg-BG"/>
        </w:rPr>
        <w:t xml:space="preserve"> </w:t>
      </w:r>
      <w:r w:rsidRPr="00D97E1A">
        <w:rPr>
          <w:rFonts w:ascii="Verdana" w:eastAsia="MS UI Gothic" w:hAnsi="Verdana" w:cs="Aharoni"/>
          <w:b/>
          <w:color w:val="046594"/>
          <w:lang w:val="bg-BG" w:eastAsia="bg-BG"/>
        </w:rPr>
        <w:t>CENTRE</w:t>
      </w:r>
      <w:r w:rsidRPr="00D97E1A">
        <w:rPr>
          <w:rFonts w:ascii="Verdana" w:eastAsia="MS UI Gothic" w:hAnsi="Verdana" w:cs="Aharoni"/>
          <w:b/>
          <w:color w:val="046594"/>
          <w:lang w:eastAsia="bg-BG"/>
        </w:rPr>
        <w:t xml:space="preserve"> Ltd</w:t>
      </w:r>
    </w:p>
    <w:p w:rsidR="00F45CF9" w:rsidRPr="00D97E1A" w:rsidRDefault="00F45CF9" w:rsidP="00F45CF9">
      <w:pPr>
        <w:pBdr>
          <w:bottom w:val="triple" w:sz="4" w:space="1" w:color="auto"/>
        </w:pBdr>
        <w:rPr>
          <w:rFonts w:ascii="Verdana" w:hAnsi="Verdana"/>
          <w:color w:val="666699"/>
          <w:sz w:val="16"/>
          <w:szCs w:val="16"/>
        </w:rPr>
      </w:pPr>
      <w:r w:rsidRPr="00D97E1A">
        <w:rPr>
          <w:rFonts w:ascii="Verdana" w:hAnsi="Verdana"/>
          <w:color w:val="666699"/>
          <w:sz w:val="16"/>
          <w:szCs w:val="16"/>
        </w:rPr>
        <w:t xml:space="preserve">UNIDO Activities Partner for project </w:t>
      </w:r>
      <w:r w:rsidRPr="00D97E1A">
        <w:rPr>
          <w:rFonts w:ascii="Verdana" w:hAnsi="Verdana" w:cs="Arial"/>
          <w:color w:val="666699"/>
          <w:sz w:val="16"/>
          <w:szCs w:val="16"/>
        </w:rPr>
        <w:t>Establishment of a Regional Network for CSR Competence for the CEE/SEE Region</w:t>
      </w:r>
    </w:p>
    <w:p w:rsidR="00890EE4" w:rsidRPr="00525EEB" w:rsidRDefault="00890EE4" w:rsidP="00890EE4">
      <w:pPr>
        <w:jc w:val="center"/>
        <w:rPr>
          <w:rFonts w:ascii="Verdana" w:hAnsi="Verdana" w:cs="Tahoma"/>
          <w:b/>
          <w:color w:val="1F497D" w:themeColor="text2"/>
          <w:sz w:val="20"/>
          <w:szCs w:val="20"/>
          <w:lang w:val="en-US"/>
        </w:rPr>
      </w:pPr>
    </w:p>
    <w:p w:rsidR="00890EE4" w:rsidRPr="00E94938" w:rsidRDefault="00890EE4" w:rsidP="00890EE4">
      <w:pPr>
        <w:jc w:val="center"/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</w:pPr>
      <w:r w:rsidRPr="00E94938"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  <w:t xml:space="preserve">Учебен курс </w:t>
      </w:r>
    </w:p>
    <w:p w:rsidR="00890EE4" w:rsidRPr="00E94938" w:rsidRDefault="00890EE4" w:rsidP="00890EE4">
      <w:pPr>
        <w:jc w:val="center"/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</w:pPr>
      <w:r w:rsidRPr="00E94938"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  <w:t>за</w:t>
      </w:r>
    </w:p>
    <w:p w:rsidR="00890EE4" w:rsidRPr="00E94938" w:rsidRDefault="00890EE4" w:rsidP="00890EE4">
      <w:pPr>
        <w:tabs>
          <w:tab w:val="center" w:pos="4536"/>
          <w:tab w:val="left" w:pos="7879"/>
        </w:tabs>
        <w:jc w:val="center"/>
        <w:rPr>
          <w:rFonts w:ascii="Verdana" w:eastAsia="MS UI Gothic" w:hAnsi="Verdana" w:cs="Tahoma"/>
          <w:b/>
          <w:color w:val="1F497D" w:themeColor="text2"/>
          <w:sz w:val="40"/>
          <w:szCs w:val="40"/>
          <w:lang w:val="de-AT"/>
        </w:rPr>
      </w:pPr>
      <w:r w:rsidRPr="00E94938"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  <w:t>сертифициран консултант по</w:t>
      </w:r>
      <w:r w:rsidR="0006129B" w:rsidRPr="00E94938"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  <w:t xml:space="preserve"> развитие на</w:t>
      </w:r>
      <w:r w:rsidRPr="00E94938"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  <w:t xml:space="preserve"> междуличностни</w:t>
      </w:r>
      <w:r w:rsidR="0006129B" w:rsidRPr="00E94938"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  <w:t>те</w:t>
      </w:r>
      <w:r w:rsidRPr="00E94938">
        <w:rPr>
          <w:rFonts w:ascii="Verdana" w:eastAsia="MS UI Gothic" w:hAnsi="Verdana" w:cs="Tahoma"/>
          <w:b/>
          <w:color w:val="1F497D" w:themeColor="text2"/>
          <w:sz w:val="40"/>
          <w:szCs w:val="40"/>
          <w:lang w:val="bg-BG"/>
        </w:rPr>
        <w:t xml:space="preserve"> отношения</w:t>
      </w:r>
    </w:p>
    <w:p w:rsidR="00890EE4" w:rsidRPr="00525EEB" w:rsidRDefault="002F18D6" w:rsidP="00890EE4">
      <w:pPr>
        <w:jc w:val="center"/>
        <w:rPr>
          <w:rFonts w:ascii="Verdana" w:eastAsia="MS UI Gothic" w:hAnsi="Verdana" w:cs="Tahoma"/>
          <w:b/>
          <w:color w:val="1F497D" w:themeColor="text2"/>
          <w:sz w:val="48"/>
          <w:szCs w:val="48"/>
          <w:lang w:val="de-AT"/>
        </w:rPr>
      </w:pPr>
      <w:r>
        <w:rPr>
          <w:rFonts w:ascii="Verdana" w:hAnsi="Verdana"/>
          <w:noProof/>
          <w:color w:val="4C4A55"/>
          <w:sz w:val="13"/>
          <w:szCs w:val="13"/>
          <w:lang w:val="en-US"/>
        </w:rPr>
        <w:drawing>
          <wp:inline distT="0" distB="0" distL="0" distR="0">
            <wp:extent cx="4368775" cy="2410144"/>
            <wp:effectExtent l="19050" t="0" r="0" b="0"/>
            <wp:docPr id="3" name="Picture 1" descr="http://www.ulbingconsulting.at/lifetime-system/fhs/images_ulbing/Bilder/titelbildoh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lbingconsulting.at/lifetime-system/fhs/images_ulbing/Bilder/titelbildoh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37" cy="241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EE4" w:rsidRPr="00E94938" w:rsidRDefault="00890EE4" w:rsidP="00890EE4">
      <w:pPr>
        <w:jc w:val="center"/>
        <w:rPr>
          <w:rFonts w:ascii="Verdana" w:eastAsia="MS UI Gothic" w:hAnsi="Verdana" w:cs="Tahoma"/>
          <w:color w:val="1F497D" w:themeColor="text2"/>
          <w:sz w:val="36"/>
          <w:szCs w:val="36"/>
          <w:lang w:val="de-AT"/>
        </w:rPr>
      </w:pPr>
      <w:r w:rsidRPr="00E94938">
        <w:rPr>
          <w:rFonts w:ascii="Verdana" w:eastAsia="MS UI Gothic" w:hAnsi="Verdana" w:cs="Tahoma"/>
          <w:color w:val="1F497D" w:themeColor="text2"/>
          <w:sz w:val="36"/>
          <w:szCs w:val="36"/>
          <w:lang w:val="bg-BG"/>
        </w:rPr>
        <w:t>Първото обучение за консултанти с интегриран достъп до пазара</w:t>
      </w:r>
    </w:p>
    <w:p w:rsidR="00890EE4" w:rsidRPr="00525EEB" w:rsidRDefault="00890EE4" w:rsidP="00890EE4">
      <w:pPr>
        <w:jc w:val="center"/>
        <w:rPr>
          <w:rFonts w:ascii="Verdana" w:hAnsi="Verdana" w:cs="Tahoma"/>
          <w:color w:val="1F497D" w:themeColor="text2"/>
          <w:sz w:val="20"/>
          <w:szCs w:val="20"/>
          <w:lang w:val="de-AT"/>
        </w:rPr>
      </w:pPr>
    </w:p>
    <w:p w:rsidR="00890EE4" w:rsidRPr="00525EEB" w:rsidRDefault="00890EE4" w:rsidP="00890EE4">
      <w:pPr>
        <w:rPr>
          <w:rFonts w:ascii="Verdana" w:hAnsi="Verdana" w:cs="Tahom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 w:cs="Tahoma"/>
          <w:color w:val="1F497D" w:themeColor="text2"/>
          <w:sz w:val="20"/>
          <w:szCs w:val="20"/>
          <w:lang w:val="de-AT"/>
        </w:rPr>
        <w:br w:type="page"/>
      </w:r>
    </w:p>
    <w:p w:rsidR="00890EE4" w:rsidRPr="00525EEB" w:rsidRDefault="00890EE4" w:rsidP="00890EE4">
      <w:pPr>
        <w:rPr>
          <w:rFonts w:ascii="Verdana" w:hAnsi="Verdana"/>
          <w:b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b/>
          <w:color w:val="1F497D" w:themeColor="text2"/>
          <w:sz w:val="20"/>
          <w:szCs w:val="20"/>
          <w:lang w:val="bg-BG"/>
        </w:rPr>
        <w:lastRenderedPageBreak/>
        <w:t>Съдържание</w:t>
      </w:r>
    </w:p>
    <w:p w:rsidR="00890EE4" w:rsidRPr="00525EEB" w:rsidRDefault="00D069C2" w:rsidP="00890EE4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de-AT"/>
        </w:rPr>
        <w:fldChar w:fldCharType="begin"/>
      </w:r>
      <w:r w:rsidR="00890EE4" w:rsidRPr="00525EEB">
        <w:rPr>
          <w:rFonts w:ascii="Verdana" w:hAnsi="Verdana"/>
          <w:color w:val="1F497D" w:themeColor="text2"/>
          <w:sz w:val="20"/>
          <w:szCs w:val="20"/>
          <w:lang w:val="de-AT"/>
        </w:rPr>
        <w:instrText xml:space="preserve"> TOC \o "1-3" \h \z \u </w:instrText>
      </w:r>
      <w:r w:rsidRPr="00525EEB">
        <w:rPr>
          <w:rFonts w:ascii="Verdana" w:hAnsi="Verdana"/>
          <w:color w:val="1F497D" w:themeColor="text2"/>
          <w:sz w:val="20"/>
          <w:szCs w:val="20"/>
          <w:lang w:val="de-AT"/>
        </w:rPr>
        <w:fldChar w:fldCharType="separate"/>
      </w:r>
      <w:hyperlink w:anchor="_Toc338791572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1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  <w:t>Целеви групи и цели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_Toc338791572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3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170A16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73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1.1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  <w:t xml:space="preserve">Квалификация на </w:t>
        </w:r>
        <w:r w:rsidR="00D15C46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системен консултант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_Toc338791573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3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170A16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74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1.2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D15C46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Правоспособност като сертифициран консултант по </w:t>
        </w:r>
        <w:r w:rsidR="00C35A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развитие на </w:t>
        </w:r>
        <w:r w:rsidR="00D15C46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междуличностни</w:t>
        </w:r>
        <w:r w:rsidR="00C35A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те</w:t>
        </w:r>
        <w:r w:rsidR="00D15C46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 отношения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 (CBFC)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_Toc338791574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3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890EE4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75" w:history="1"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2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06129B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Длъжностна</w:t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 характеристика „сертифициран консултант по</w:t>
        </w:r>
        <w:r w:rsidR="00C35A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 развитие на</w:t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 междуличностни</w:t>
        </w:r>
        <w:r w:rsidR="00C35A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те</w:t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 отношения”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_Toc338791575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3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890EE4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76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3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Условия за достъп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_Toc338791576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4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890EE4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77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4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Методи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_Toc338791577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4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170A16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78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4.1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Модули за основите и процесите на системното консултиране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_Toc338791578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5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170A16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79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4.2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Модули архитектура на консултирането, методи и дизайн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_Toc338791579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5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890EE4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80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5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Обзор на цени и сертификати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_Toc338791580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6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890EE4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81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6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Съдържание на обучението на консултантите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_Toc338791581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7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170A16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82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6.1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Модул I:</w:t>
        </w:r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 xml:space="preserve"> </w:t>
        </w:r>
        <w:r w:rsidR="005C0D35" w:rsidRPr="00525EEB">
          <w:rPr>
            <w:rFonts w:ascii="Verdana" w:eastAsia="Times New Roman" w:hAnsi="Verdana"/>
            <w:color w:val="1F497D" w:themeColor="text2"/>
            <w:sz w:val="20"/>
            <w:szCs w:val="20"/>
            <w:lang w:eastAsia="de-DE"/>
          </w:rPr>
          <w:t>Развитие на потенциала – 2 дни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_Toc338791582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7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170A16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83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6.2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Модул II: Основи на системното консултиране – 3 дни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_Toc338791583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7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170A16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84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6.3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5C0D35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Модул III: </w:t>
        </w:r>
        <w:r w:rsidR="0027088D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Процесът на консултиране</w:t>
        </w:r>
        <w:r w:rsidR="0027088D" w:rsidRPr="00525EEB">
          <w:rPr>
            <w:rFonts w:ascii="Verdana" w:eastAsia="Times New Roman" w:hAnsi="Verdana"/>
            <w:color w:val="1F497D" w:themeColor="text2"/>
            <w:sz w:val="20"/>
            <w:szCs w:val="20"/>
            <w:lang w:eastAsia="de-DE"/>
          </w:rPr>
          <w:t xml:space="preserve"> – 3 дни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_Toc338791584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7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Pr="00525EEB" w:rsidRDefault="00D069C2" w:rsidP="00170A16">
      <w:pPr>
        <w:pStyle w:val="TOC1"/>
        <w:tabs>
          <w:tab w:val="left" w:pos="440"/>
          <w:tab w:val="right" w:leader="dot" w:pos="9060"/>
        </w:tabs>
        <w:rPr>
          <w:rFonts w:ascii="Verdana" w:eastAsia="Times New Roman" w:hAnsi="Verdana"/>
          <w:noProof/>
          <w:color w:val="1F497D" w:themeColor="text2"/>
          <w:sz w:val="20"/>
          <w:szCs w:val="20"/>
          <w:lang w:val="bg-BG" w:eastAsia="de-DE"/>
        </w:rPr>
      </w:pPr>
      <w:hyperlink w:anchor="_Toc338791585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6.4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27088D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Модул IV: Д</w:t>
        </w:r>
        <w:r w:rsidR="00170A16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изайн и методи на консултиране</w:t>
        </w:r>
        <w:r w:rsidR="0027088D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 xml:space="preserve"> – 2 дни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_Toc338791585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7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890EE4" w:rsidRDefault="00D069C2" w:rsidP="00890EE4">
      <w:pPr>
        <w:pStyle w:val="TOC1"/>
        <w:tabs>
          <w:tab w:val="left" w:pos="440"/>
          <w:tab w:val="right" w:leader="dot" w:pos="9060"/>
        </w:tabs>
      </w:pPr>
      <w:hyperlink w:anchor="_Toc338791586" w:history="1">
        <w:r w:rsidR="00890EE4" w:rsidRPr="00525EEB">
          <w:rPr>
            <w:rFonts w:ascii="Verdana" w:eastAsia="Times New Roman" w:hAnsi="Verdana"/>
            <w:color w:val="1F497D" w:themeColor="text2"/>
            <w:sz w:val="20"/>
            <w:szCs w:val="20"/>
            <w:lang w:val="bg-BG" w:eastAsia="de-DE"/>
          </w:rPr>
          <w:t>7</w:t>
        </w:r>
        <w:r w:rsidR="00890EE4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ab/>
        </w:r>
        <w:r w:rsidR="0027088D" w:rsidRPr="00525EEB">
          <w:rPr>
            <w:rFonts w:ascii="Verdana" w:eastAsia="Times New Roman" w:hAnsi="Verdana"/>
            <w:noProof/>
            <w:color w:val="1F497D" w:themeColor="text2"/>
            <w:sz w:val="20"/>
            <w:szCs w:val="20"/>
            <w:lang w:val="bg-BG" w:eastAsia="de-DE"/>
          </w:rPr>
          <w:t>Обучителите по обучение на консултанти CBFC</w:t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ab/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begin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instrText xml:space="preserve"> PAGEREF _Toc338791586 \h </w:instrTex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separate"/>
        </w:r>
        <w:r w:rsidR="00890EE4"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t>8</w:t>
        </w:r>
        <w:r w:rsidRPr="00525EEB">
          <w:rPr>
            <w:rFonts w:ascii="Verdana" w:eastAsia="Times New Roman" w:hAnsi="Verdana"/>
            <w:noProof/>
            <w:webHidden/>
            <w:color w:val="1F497D" w:themeColor="text2"/>
            <w:sz w:val="20"/>
            <w:szCs w:val="20"/>
            <w:lang w:val="bg-BG" w:eastAsia="de-DE"/>
          </w:rPr>
          <w:fldChar w:fldCharType="end"/>
        </w:r>
      </w:hyperlink>
    </w:p>
    <w:p w:rsidR="00155FC5" w:rsidRPr="00155FC5" w:rsidRDefault="00155FC5" w:rsidP="00155FC5"/>
    <w:p w:rsidR="00890EE4" w:rsidRDefault="00D069C2" w:rsidP="00A42397">
      <w:pPr>
        <w:rPr>
          <w:rFonts w:ascii="Verdana" w:hAnsi="Verdan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de-AT"/>
        </w:rPr>
        <w:fldChar w:fldCharType="end"/>
      </w:r>
      <w:r w:rsidR="004E4F82" w:rsidRPr="004E4F82">
        <w:rPr>
          <w:rFonts w:ascii="Verdana" w:hAnsi="Verdana"/>
          <w:noProof/>
          <w:color w:val="1F497D" w:themeColor="text2"/>
          <w:sz w:val="20"/>
          <w:szCs w:val="20"/>
          <w:lang w:val="en-US"/>
        </w:rPr>
        <w:drawing>
          <wp:inline distT="0" distB="0" distL="0" distR="0">
            <wp:extent cx="5672175" cy="1558138"/>
            <wp:effectExtent l="19050" t="0" r="4725" b="0"/>
            <wp:docPr id="4" name="Picture 2" descr="C:\Users\petroslav\Desktop\EMC Sales  and Communication Academy\Partners and  Klienti Austrian Chansselor\Detelink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slav\Desktop\EMC Sales  and Communication Academy\Partners and  Klienti Austrian Chansselor\Detelinka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217" cy="1557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4AA" w:rsidRDefault="008B34AA" w:rsidP="00A42397">
      <w:pPr>
        <w:rPr>
          <w:rFonts w:ascii="Verdana" w:hAnsi="Verdana"/>
          <w:color w:val="1F497D" w:themeColor="text2"/>
          <w:sz w:val="20"/>
          <w:szCs w:val="20"/>
          <w:lang w:val="de-AT"/>
        </w:rPr>
      </w:pPr>
    </w:p>
    <w:p w:rsidR="00A053D8" w:rsidRDefault="00A053D8" w:rsidP="00A42397">
      <w:pPr>
        <w:rPr>
          <w:rFonts w:ascii="Verdana" w:hAnsi="Verdana"/>
          <w:color w:val="1F497D" w:themeColor="text2"/>
          <w:sz w:val="20"/>
          <w:szCs w:val="20"/>
          <w:lang w:val="de-AT"/>
        </w:rPr>
      </w:pPr>
    </w:p>
    <w:p w:rsidR="00890EE4" w:rsidRPr="00525EEB" w:rsidRDefault="0027088D" w:rsidP="00890EE4">
      <w:pPr>
        <w:pStyle w:val="Heading1"/>
        <w:rPr>
          <w:rFonts w:ascii="Verdana" w:hAnsi="Verdana" w:cs="Times New Roman"/>
          <w:color w:val="1F497D" w:themeColor="text2"/>
          <w:sz w:val="20"/>
          <w:szCs w:val="20"/>
          <w:lang w:val="de-AT"/>
        </w:rPr>
      </w:pPr>
      <w:bookmarkStart w:id="0" w:name="_Toc338791572"/>
      <w:r w:rsidRPr="00525EEB">
        <w:rPr>
          <w:rFonts w:ascii="Verdana" w:hAnsi="Verdana" w:cs="Times New Roman"/>
          <w:color w:val="1F497D" w:themeColor="text2"/>
          <w:sz w:val="20"/>
          <w:szCs w:val="20"/>
          <w:lang w:val="bg-BG"/>
        </w:rPr>
        <w:lastRenderedPageBreak/>
        <w:t>Целеви групи</w:t>
      </w:r>
      <w:bookmarkEnd w:id="0"/>
    </w:p>
    <w:p w:rsidR="00890EE4" w:rsidRPr="00525EEB" w:rsidRDefault="00B10763" w:rsidP="00890EE4">
      <w:pPr>
        <w:rPr>
          <w:rFonts w:ascii="Verdana" w:hAnsi="Verdana"/>
          <w:color w:val="1F497D" w:themeColor="text2"/>
          <w:sz w:val="20"/>
          <w:szCs w:val="20"/>
          <w:lang w:val="bg-BG"/>
        </w:rPr>
      </w:pPr>
      <w:r>
        <w:rPr>
          <w:rFonts w:ascii="Verdana" w:hAnsi="Verdana"/>
          <w:color w:val="1F497D" w:themeColor="text2"/>
          <w:sz w:val="20"/>
          <w:szCs w:val="20"/>
          <w:lang w:val="bg-BG"/>
        </w:rPr>
        <w:t>Учебната програма</w:t>
      </w:r>
      <w:r w:rsidR="001D23DB"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 по консултиране се отнася до с</w:t>
      </w:r>
      <w:r w:rsidR="0027088D" w:rsidRPr="00525EEB">
        <w:rPr>
          <w:rFonts w:ascii="Verdana" w:hAnsi="Verdana"/>
          <w:color w:val="1F497D" w:themeColor="text2"/>
          <w:sz w:val="20"/>
          <w:szCs w:val="20"/>
          <w:lang w:val="bg-BG"/>
        </w:rPr>
        <w:t>ледните целеви групи</w:t>
      </w:r>
      <w:r w:rsidR="001D23DB" w:rsidRPr="00525EEB">
        <w:rPr>
          <w:rFonts w:ascii="Verdana" w:hAnsi="Verdana"/>
          <w:color w:val="1F497D" w:themeColor="text2"/>
          <w:sz w:val="20"/>
          <w:szCs w:val="20"/>
          <w:lang w:val="bg-BG"/>
        </w:rPr>
        <w:t>:</w:t>
      </w:r>
    </w:p>
    <w:p w:rsidR="00890EE4" w:rsidRPr="00525EEB" w:rsidRDefault="00EA788F" w:rsidP="00890EE4">
      <w:pPr>
        <w:numPr>
          <w:ilvl w:val="0"/>
          <w:numId w:val="2"/>
        </w:numPr>
        <w:spacing w:after="0" w:line="240" w:lineRule="auto"/>
        <w:rPr>
          <w:rFonts w:ascii="Verdana" w:hAnsi="Verdan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Фирмени консултанти, които желаят да разширят дейността си </w:t>
      </w:r>
    </w:p>
    <w:p w:rsidR="00890EE4" w:rsidRPr="00525EEB" w:rsidRDefault="00EA788F" w:rsidP="00890EE4">
      <w:pPr>
        <w:numPr>
          <w:ilvl w:val="0"/>
          <w:numId w:val="2"/>
        </w:numPr>
        <w:spacing w:after="0" w:line="240" w:lineRule="auto"/>
        <w:rPr>
          <w:rFonts w:ascii="Verdana" w:hAnsi="Verdan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Квалифицирани обучители, които желаят да постигнат допълнителни компетенции по консултиране</w:t>
      </w:r>
    </w:p>
    <w:p w:rsidR="00890EE4" w:rsidRPr="00525EEB" w:rsidRDefault="00EA788F" w:rsidP="00890EE4">
      <w:pPr>
        <w:numPr>
          <w:ilvl w:val="0"/>
          <w:numId w:val="2"/>
        </w:numPr>
        <w:spacing w:after="0" w:line="240" w:lineRule="auto"/>
        <w:rPr>
          <w:rFonts w:ascii="Verdana" w:hAnsi="Verdan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Стопански ръководители, които </w:t>
      </w:r>
      <w:r w:rsidR="001D23DB" w:rsidRPr="00525EEB">
        <w:rPr>
          <w:rFonts w:ascii="Verdana" w:hAnsi="Verdana"/>
          <w:color w:val="1F497D" w:themeColor="text2"/>
          <w:sz w:val="20"/>
          <w:szCs w:val="20"/>
          <w:lang w:val="bg-BG"/>
        </w:rPr>
        <w:t>искат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 да направят кариера</w:t>
      </w:r>
    </w:p>
    <w:p w:rsidR="00890EE4" w:rsidRPr="00525EEB" w:rsidRDefault="00EA788F" w:rsidP="00890EE4">
      <w:pPr>
        <w:rPr>
          <w:rFonts w:ascii="Verdana" w:hAnsi="Verdan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Какво дава на участниците учебният курс?</w:t>
      </w:r>
    </w:p>
    <w:p w:rsidR="00890EE4" w:rsidRPr="00525EEB" w:rsidRDefault="00FC6F4F" w:rsidP="00890EE4">
      <w:pPr>
        <w:numPr>
          <w:ilvl w:val="0"/>
          <w:numId w:val="2"/>
        </w:numPr>
        <w:spacing w:after="0" w:line="240" w:lineRule="auto"/>
        <w:rPr>
          <w:rFonts w:ascii="Verdana" w:hAnsi="Verdan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Умения за прилагане на инструментите и методите на системното консултиране и </w:t>
      </w:r>
      <w:r w:rsidR="00BB3FD8" w:rsidRPr="00525EEB">
        <w:rPr>
          <w:rFonts w:ascii="Verdana" w:hAnsi="Verdana"/>
          <w:color w:val="1F497D" w:themeColor="text2"/>
          <w:sz w:val="20"/>
          <w:szCs w:val="20"/>
          <w:lang w:val="bg-BG"/>
        </w:rPr>
        <w:t>транспониране</w:t>
      </w:r>
    </w:p>
    <w:p w:rsidR="00890EE4" w:rsidRPr="00525EEB" w:rsidRDefault="00BB3FD8" w:rsidP="00890EE4">
      <w:pPr>
        <w:numPr>
          <w:ilvl w:val="0"/>
          <w:numId w:val="2"/>
        </w:numPr>
        <w:spacing w:after="0" w:line="240" w:lineRule="auto"/>
        <w:rPr>
          <w:rFonts w:ascii="Verdana" w:hAnsi="Verdan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Придобиване на </w:t>
      </w:r>
      <w:r w:rsidRPr="00525EEB">
        <w:rPr>
          <w:rFonts w:ascii="Verdana" w:hAnsi="Verdana"/>
          <w:b/>
          <w:color w:val="1F497D" w:themeColor="text2"/>
          <w:sz w:val="20"/>
          <w:szCs w:val="20"/>
          <w:u w:val="single"/>
          <w:lang w:val="bg-BG"/>
        </w:rPr>
        <w:t>индивидуалната квалификация</w:t>
      </w:r>
      <w:r w:rsidR="00890EE4" w:rsidRPr="00525EEB">
        <w:rPr>
          <w:rFonts w:ascii="Verdana" w:hAnsi="Verdana"/>
          <w:color w:val="1F497D" w:themeColor="text2"/>
          <w:sz w:val="20"/>
          <w:szCs w:val="20"/>
          <w:lang w:val="de-AT"/>
        </w:rPr>
        <w:t xml:space="preserve"> 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на 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фирмен консултант за получаване на удостоверение за практикуване на професията</w:t>
      </w:r>
    </w:p>
    <w:p w:rsidR="00890EE4" w:rsidRPr="00525EEB" w:rsidRDefault="007E64E1" w:rsidP="00890EE4">
      <w:pPr>
        <w:numPr>
          <w:ilvl w:val="0"/>
          <w:numId w:val="2"/>
        </w:numPr>
        <w:spacing w:after="0" w:line="240" w:lineRule="auto"/>
        <w:rPr>
          <w:rFonts w:ascii="Verdana" w:hAnsi="Verdana"/>
          <w:color w:val="1F497D" w:themeColor="text2"/>
          <w:sz w:val="20"/>
          <w:szCs w:val="20"/>
          <w:lang w:val="de-AT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Право на ползване на модулите на консултиране по системата за консултиране на междуличностните отношени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>я</w:t>
      </w:r>
      <w:r w:rsidR="00890EE4" w:rsidRPr="00525EEB">
        <w:rPr>
          <w:rFonts w:ascii="Verdana" w:hAnsi="Verdana"/>
          <w:color w:val="1F497D" w:themeColor="text2"/>
          <w:sz w:val="20"/>
          <w:szCs w:val="20"/>
          <w:vertAlign w:val="superscript"/>
          <w:lang w:val="de-AT"/>
        </w:rPr>
        <w:t xml:space="preserve"> </w:t>
      </w:r>
    </w:p>
    <w:p w:rsidR="00890EE4" w:rsidRPr="00525EEB" w:rsidRDefault="007E64E1" w:rsidP="00890EE4">
      <w:pPr>
        <w:pStyle w:val="Heading2"/>
        <w:rPr>
          <w:rFonts w:ascii="Verdana" w:hAnsi="Verdana" w:cs="Times New Roman"/>
          <w:color w:val="1F497D" w:themeColor="text2"/>
          <w:sz w:val="20"/>
          <w:szCs w:val="20"/>
          <w:lang w:val="de-AT"/>
        </w:rPr>
      </w:pPr>
      <w:bookmarkStart w:id="1" w:name="_Toc338791573"/>
      <w:r w:rsidRPr="00525EEB">
        <w:rPr>
          <w:rFonts w:ascii="Verdana" w:hAnsi="Verdana" w:cs="Times New Roman"/>
          <w:color w:val="1F497D" w:themeColor="text2"/>
          <w:sz w:val="20"/>
          <w:szCs w:val="20"/>
          <w:lang w:val="bg-BG"/>
        </w:rPr>
        <w:t>Квалификация на системен консултант</w:t>
      </w:r>
      <w:bookmarkEnd w:id="1"/>
    </w:p>
    <w:p w:rsidR="00890EE4" w:rsidRPr="00525EEB" w:rsidRDefault="007E64E1" w:rsidP="00890EE4">
      <w:pPr>
        <w:spacing w:after="0"/>
        <w:jc w:val="both"/>
        <w:rPr>
          <w:rFonts w:ascii="Verdana" w:hAnsi="Verdana"/>
          <w:color w:val="1F497D" w:themeColor="text2"/>
          <w:sz w:val="20"/>
          <w:szCs w:val="20"/>
          <w:lang w:val="bg-BG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Целта на този учебен курс е абсолвентите да се квалифицират </w:t>
      </w:r>
      <w:r w:rsidR="00386993" w:rsidRPr="00525EEB">
        <w:rPr>
          <w:rFonts w:ascii="Verdana" w:hAnsi="Verdana"/>
          <w:color w:val="1F497D" w:themeColor="text2"/>
          <w:sz w:val="20"/>
          <w:szCs w:val="20"/>
          <w:lang w:val="bg-BG"/>
        </w:rPr>
        <w:t>като сертифицирани консултанти по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 развитие на</w:t>
      </w:r>
      <w:r w:rsidR="00386993"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 междуличност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>н</w:t>
      </w:r>
      <w:r w:rsidR="00386993" w:rsidRPr="00525EEB">
        <w:rPr>
          <w:rFonts w:ascii="Verdana" w:hAnsi="Verdana"/>
          <w:color w:val="1F497D" w:themeColor="text2"/>
          <w:sz w:val="20"/>
          <w:szCs w:val="20"/>
          <w:lang w:val="bg-BG"/>
        </w:rPr>
        <w:t>и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>те</w:t>
      </w:r>
      <w:r w:rsidR="00386993"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 отношения</w:t>
      </w:r>
      <w:r w:rsidR="00890EE4" w:rsidRPr="00525EEB">
        <w:rPr>
          <w:rFonts w:ascii="Verdana" w:hAnsi="Verdana"/>
          <w:color w:val="1F497D" w:themeColor="text2"/>
          <w:sz w:val="20"/>
          <w:szCs w:val="20"/>
          <w:lang w:val="de-AT"/>
        </w:rPr>
        <w:t xml:space="preserve"> (CBFC) 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да провеждат </w:t>
      </w:r>
      <w:r w:rsidR="00386993" w:rsidRPr="00525EEB">
        <w:rPr>
          <w:rFonts w:ascii="Verdana" w:hAnsi="Verdana"/>
          <w:color w:val="1F497D" w:themeColor="text2"/>
          <w:sz w:val="20"/>
          <w:szCs w:val="20"/>
          <w:lang w:val="bg-BG"/>
        </w:rPr>
        <w:t>системно консултиране и по този начин да подпомагат фирми и други организации да постигат своите цели, желания и мечти. Тази квалификация се отнася както до назначени ръководни служители, така и до самонаети.</w:t>
      </w:r>
    </w:p>
    <w:p w:rsidR="00890EE4" w:rsidRPr="00525EEB" w:rsidRDefault="00386993" w:rsidP="00890EE4">
      <w:pPr>
        <w:pStyle w:val="Heading2"/>
        <w:rPr>
          <w:rFonts w:ascii="Verdana" w:hAnsi="Verdana" w:cs="Times New Roman"/>
          <w:color w:val="1F497D" w:themeColor="text2"/>
          <w:sz w:val="20"/>
          <w:szCs w:val="20"/>
          <w:lang w:val="bg-BG"/>
        </w:rPr>
      </w:pPr>
      <w:bookmarkStart w:id="2" w:name="_Toc338791574"/>
      <w:r w:rsidRPr="00525EEB">
        <w:rPr>
          <w:rFonts w:ascii="Verdana" w:hAnsi="Verdana" w:cs="Times New Roman"/>
          <w:color w:val="1F497D" w:themeColor="text2"/>
          <w:sz w:val="20"/>
          <w:szCs w:val="20"/>
          <w:lang w:val="bg-BG"/>
        </w:rPr>
        <w:t>Правоспособност като сертифициран консултанти по междуличности отношения (</w:t>
      </w:r>
      <w:r w:rsidRPr="00525EEB">
        <w:rPr>
          <w:rFonts w:ascii="Verdana" w:hAnsi="Verdana" w:cs="Times New Roman"/>
          <w:color w:val="1F497D" w:themeColor="text2"/>
          <w:sz w:val="20"/>
          <w:szCs w:val="20"/>
          <w:lang w:val="en-US"/>
        </w:rPr>
        <w:t>CBFC</w:t>
      </w:r>
      <w:r w:rsidRPr="00525EEB">
        <w:rPr>
          <w:rFonts w:ascii="Verdana" w:hAnsi="Verdana" w:cs="Times New Roman"/>
          <w:color w:val="1F497D" w:themeColor="text2"/>
          <w:sz w:val="20"/>
          <w:szCs w:val="20"/>
          <w:lang w:val="bg-BG"/>
        </w:rPr>
        <w:t xml:space="preserve">) </w:t>
      </w:r>
      <w:bookmarkEnd w:id="2"/>
    </w:p>
    <w:p w:rsidR="00890EE4" w:rsidRPr="001A29A5" w:rsidRDefault="00890EE4" w:rsidP="00890EE4">
      <w:pPr>
        <w:pStyle w:val="ListParagraph"/>
        <w:rPr>
          <w:rFonts w:ascii="Verdana" w:hAnsi="Verdana"/>
          <w:b/>
          <w:color w:val="1F497D" w:themeColor="text2"/>
          <w:sz w:val="16"/>
          <w:szCs w:val="16"/>
          <w:lang w:val="bg-BG"/>
        </w:rPr>
      </w:pPr>
    </w:p>
    <w:p w:rsidR="00890EE4" w:rsidRPr="00525EEB" w:rsidRDefault="00386993" w:rsidP="00890EE4">
      <w:pPr>
        <w:pStyle w:val="ListParagraph"/>
        <w:numPr>
          <w:ilvl w:val="0"/>
          <w:numId w:val="7"/>
        </w:numPr>
        <w:rPr>
          <w:rFonts w:ascii="Verdana" w:hAnsi="Verdana"/>
          <w:color w:val="1F497D" w:themeColor="text2"/>
          <w:sz w:val="20"/>
          <w:szCs w:val="20"/>
          <w:lang w:val="bg-BG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Допускане до изслушване за сертифициран консултант по 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развитие на 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междуличност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>н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и</w:t>
      </w:r>
      <w:r w:rsidR="00C35AE4" w:rsidRPr="00525EEB">
        <w:rPr>
          <w:rFonts w:ascii="Verdana" w:hAnsi="Verdana"/>
          <w:color w:val="1F497D" w:themeColor="text2"/>
          <w:sz w:val="20"/>
          <w:szCs w:val="20"/>
          <w:lang w:val="bg-BG"/>
        </w:rPr>
        <w:t>те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 отношения (</w:t>
      </w:r>
      <w:r w:rsidRPr="00525EEB">
        <w:rPr>
          <w:rFonts w:ascii="Verdana" w:hAnsi="Verdana"/>
          <w:color w:val="1F497D" w:themeColor="text2"/>
          <w:sz w:val="20"/>
          <w:szCs w:val="20"/>
          <w:lang w:val="en-US"/>
        </w:rPr>
        <w:t>CBFC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) </w:t>
      </w:r>
    </w:p>
    <w:p w:rsidR="00890EE4" w:rsidRPr="00525EEB" w:rsidRDefault="00C35AE4" w:rsidP="00890EE4">
      <w:pPr>
        <w:pStyle w:val="ListParagraph"/>
        <w:numPr>
          <w:ilvl w:val="0"/>
          <w:numId w:val="7"/>
        </w:numPr>
        <w:rPr>
          <w:rFonts w:ascii="Verdana" w:hAnsi="Verdana"/>
          <w:color w:val="1F497D" w:themeColor="text2"/>
          <w:sz w:val="20"/>
          <w:szCs w:val="20"/>
          <w:lang w:val="bg-BG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Сертифицираните консултанти по развитие на междуличностните отношения (</w:t>
      </w:r>
      <w:r w:rsidRPr="00525EEB">
        <w:rPr>
          <w:rFonts w:ascii="Verdana" w:hAnsi="Verdana"/>
          <w:color w:val="1F497D" w:themeColor="text2"/>
          <w:sz w:val="20"/>
          <w:szCs w:val="20"/>
          <w:lang w:val="en-US"/>
        </w:rPr>
        <w:t>CBFC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) могат със своята квалификация да</w:t>
      </w:r>
      <w:r w:rsidR="00E77316" w:rsidRPr="00525EEB">
        <w:rPr>
          <w:rFonts w:ascii="Verdana" w:hAnsi="Verdana"/>
          <w:color w:val="1F497D" w:themeColor="text2"/>
          <w:sz w:val="20"/>
          <w:szCs w:val="20"/>
          <w:lang w:val="bg-BG"/>
        </w:rPr>
        <w:t xml:space="preserve"> работят като обучители и трене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ри в семинарите и уъркшоповете на академията по развитие на междуличностните отношения.</w:t>
      </w:r>
    </w:p>
    <w:p w:rsidR="00890EE4" w:rsidRPr="00525EEB" w:rsidRDefault="00EB3724" w:rsidP="00890EE4">
      <w:pPr>
        <w:pStyle w:val="ListParagraph"/>
        <w:numPr>
          <w:ilvl w:val="0"/>
          <w:numId w:val="7"/>
        </w:numPr>
        <w:rPr>
          <w:rFonts w:ascii="Verdana" w:hAnsi="Verdana"/>
          <w:color w:val="1F497D" w:themeColor="text2"/>
          <w:sz w:val="20"/>
          <w:szCs w:val="20"/>
          <w:lang w:val="bg-BG"/>
        </w:rPr>
      </w:pP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Сертифицираните консултанти по развитие на междуличностните отношения (</w:t>
      </w:r>
      <w:r w:rsidRPr="00525EEB">
        <w:rPr>
          <w:rFonts w:ascii="Verdana" w:hAnsi="Verdana"/>
          <w:color w:val="1F497D" w:themeColor="text2"/>
          <w:sz w:val="20"/>
          <w:szCs w:val="20"/>
          <w:lang w:val="en-US"/>
        </w:rPr>
        <w:t>CBFC</w:t>
      </w:r>
      <w:r w:rsidRPr="00525EEB">
        <w:rPr>
          <w:rFonts w:ascii="Verdana" w:hAnsi="Verdana"/>
          <w:color w:val="1F497D" w:themeColor="text2"/>
          <w:sz w:val="20"/>
          <w:szCs w:val="20"/>
          <w:lang w:val="bg-BG"/>
        </w:rPr>
        <w:t>) могат станат „сертифицирани членове” на консултантския екип по развитие на междуличностните отношения.</w:t>
      </w:r>
    </w:p>
    <w:p w:rsidR="00E77316" w:rsidRPr="001A29A5" w:rsidRDefault="00E77316" w:rsidP="00890EE4">
      <w:pPr>
        <w:pStyle w:val="ListParagraph"/>
        <w:rPr>
          <w:rFonts w:ascii="Verdana" w:hAnsi="Verdana"/>
          <w:b/>
          <w:color w:val="1F497D" w:themeColor="text2"/>
          <w:sz w:val="16"/>
          <w:szCs w:val="16"/>
          <w:lang w:val="bg-BG"/>
        </w:rPr>
      </w:pPr>
      <w:bookmarkStart w:id="3" w:name="OLE_LINK1"/>
      <w:bookmarkStart w:id="4" w:name="OLE_LINK2"/>
    </w:p>
    <w:p w:rsidR="00890EE4" w:rsidRPr="001A29A5" w:rsidRDefault="00EB3724" w:rsidP="001A29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Theme="minorHAnsi" w:hAnsiTheme="minorHAnsi"/>
          <w:b/>
          <w:color w:val="1F497D" w:themeColor="text2"/>
          <w:lang w:val="en-US"/>
        </w:rPr>
      </w:pPr>
      <w:r w:rsidRPr="001A29A5">
        <w:rPr>
          <w:rFonts w:asciiTheme="minorHAnsi" w:hAnsiTheme="minorHAnsi"/>
          <w:b/>
          <w:color w:val="1F497D" w:themeColor="text2"/>
          <w:lang w:val="bg-BG"/>
        </w:rPr>
        <w:t>След три години практик</w:t>
      </w:r>
      <w:r w:rsidR="001A29A5">
        <w:rPr>
          <w:rFonts w:asciiTheme="minorHAnsi" w:hAnsiTheme="minorHAnsi"/>
          <w:b/>
          <w:color w:val="1F497D" w:themeColor="text2"/>
          <w:lang w:val="bg-BG"/>
        </w:rPr>
        <w:t>а като самостоятелен консултант</w:t>
      </w:r>
    </w:p>
    <w:p w:rsidR="00890EE4" w:rsidRPr="001A29A5" w:rsidRDefault="006F5386" w:rsidP="001A2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left="360"/>
        <w:jc w:val="center"/>
        <w:rPr>
          <w:rFonts w:asciiTheme="minorHAnsi" w:hAnsiTheme="minorHAnsi"/>
          <w:b/>
          <w:color w:val="1F497D" w:themeColor="text2"/>
          <w:lang w:val="bg-BG"/>
        </w:rPr>
      </w:pPr>
      <w:r w:rsidRPr="001A29A5">
        <w:rPr>
          <w:rFonts w:asciiTheme="minorHAnsi" w:hAnsiTheme="minorHAnsi"/>
          <w:b/>
          <w:color w:val="1F497D" w:themeColor="text2"/>
          <w:lang w:val="bg-BG"/>
        </w:rPr>
        <w:t>Допускане до изслушване за сертифициран консултант по мениджмънт (</w:t>
      </w:r>
      <w:r w:rsidRPr="001A29A5">
        <w:rPr>
          <w:rFonts w:asciiTheme="minorHAnsi" w:hAnsiTheme="minorHAnsi"/>
          <w:b/>
          <w:color w:val="1F497D" w:themeColor="text2"/>
        </w:rPr>
        <w:t>CMC</w:t>
      </w:r>
      <w:r w:rsidRPr="001A29A5">
        <w:rPr>
          <w:rFonts w:asciiTheme="minorHAnsi" w:hAnsiTheme="minorHAnsi"/>
          <w:b/>
          <w:color w:val="1F497D" w:themeColor="text2"/>
          <w:lang w:val="bg-BG"/>
        </w:rPr>
        <w:t xml:space="preserve">). </w:t>
      </w:r>
      <w:bookmarkEnd w:id="3"/>
      <w:bookmarkEnd w:id="4"/>
      <w:r w:rsidRPr="001A29A5">
        <w:rPr>
          <w:rFonts w:asciiTheme="minorHAnsi" w:hAnsiTheme="minorHAnsi"/>
          <w:b/>
          <w:color w:val="1F497D" w:themeColor="text2"/>
          <w:lang w:val="bg-BG"/>
        </w:rPr>
        <w:t>Сертифициран консултант по мениджмънт (</w:t>
      </w:r>
      <w:r w:rsidRPr="001A29A5">
        <w:rPr>
          <w:rFonts w:asciiTheme="minorHAnsi" w:hAnsiTheme="minorHAnsi"/>
          <w:b/>
          <w:color w:val="1F497D" w:themeColor="text2"/>
        </w:rPr>
        <w:t>CMC</w:t>
      </w:r>
      <w:r w:rsidRPr="001A29A5">
        <w:rPr>
          <w:rFonts w:asciiTheme="minorHAnsi" w:hAnsiTheme="minorHAnsi"/>
          <w:b/>
          <w:color w:val="1F497D" w:themeColor="text2"/>
          <w:lang w:val="bg-BG"/>
        </w:rPr>
        <w:t xml:space="preserve">) е най-висшият международен стандарт за консултанти и в Австрия се присъжда след изслушване пред комисия на </w:t>
      </w:r>
      <w:r w:rsidRPr="001A29A5">
        <w:rPr>
          <w:rFonts w:asciiTheme="minorHAnsi" w:hAnsiTheme="minorHAnsi"/>
          <w:b/>
          <w:color w:val="1F497D" w:themeColor="text2"/>
          <w:lang w:val="en-US"/>
        </w:rPr>
        <w:t>UBIT</w:t>
      </w:r>
      <w:r w:rsidRPr="001A29A5">
        <w:rPr>
          <w:rFonts w:asciiTheme="minorHAnsi" w:hAnsiTheme="minorHAnsi"/>
          <w:b/>
          <w:color w:val="1F497D" w:themeColor="text2"/>
          <w:lang w:val="bg-BG"/>
        </w:rPr>
        <w:t xml:space="preserve"> – професионално направление фирмени консултанти</w:t>
      </w:r>
      <w:r w:rsidR="005433A2" w:rsidRPr="001A29A5">
        <w:rPr>
          <w:rFonts w:asciiTheme="minorHAnsi" w:hAnsiTheme="minorHAnsi"/>
          <w:b/>
          <w:color w:val="1F497D" w:themeColor="text2"/>
          <w:lang w:val="bg-BG"/>
        </w:rPr>
        <w:t xml:space="preserve"> и информационни технологии на Ф</w:t>
      </w:r>
      <w:r w:rsidR="001A29A5" w:rsidRPr="001A29A5">
        <w:rPr>
          <w:rFonts w:asciiTheme="minorHAnsi" w:hAnsiTheme="minorHAnsi"/>
          <w:b/>
          <w:color w:val="1F497D" w:themeColor="text2"/>
          <w:lang w:val="bg-BG"/>
        </w:rPr>
        <w:t>едералната стопанска камара</w:t>
      </w:r>
    </w:p>
    <w:p w:rsidR="00890EE4" w:rsidRPr="001A29A5" w:rsidRDefault="0006129B" w:rsidP="001A29A5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center"/>
        <w:rPr>
          <w:rStyle w:val="Emphasis"/>
          <w:rFonts w:asciiTheme="minorHAnsi" w:hAnsiTheme="minorHAnsi"/>
          <w:b/>
          <w:i w:val="0"/>
          <w:color w:val="17365D" w:themeColor="text2" w:themeShade="BF"/>
        </w:rPr>
      </w:pPr>
      <w:r w:rsidRPr="001A29A5">
        <w:rPr>
          <w:rStyle w:val="Emphasis"/>
          <w:rFonts w:asciiTheme="minorHAnsi" w:hAnsiTheme="minorHAnsi"/>
          <w:b/>
          <w:i w:val="0"/>
          <w:color w:val="17365D" w:themeColor="text2" w:themeShade="BF"/>
        </w:rPr>
        <w:t>Председател на комисията по сертифициране: докт</w:t>
      </w:r>
      <w:r w:rsidR="001A29A5" w:rsidRPr="001A29A5">
        <w:rPr>
          <w:rStyle w:val="Emphasis"/>
          <w:rFonts w:asciiTheme="minorHAnsi" w:hAnsiTheme="minorHAnsi"/>
          <w:b/>
          <w:i w:val="0"/>
          <w:color w:val="17365D" w:themeColor="text2" w:themeShade="BF"/>
        </w:rPr>
        <w:t>ор по информатика Хайнц Михалич</w:t>
      </w:r>
    </w:p>
    <w:p w:rsidR="00F86EC7" w:rsidRPr="00A538F8" w:rsidRDefault="00F86EC7">
      <w:pPr>
        <w:rPr>
          <w:rFonts w:ascii="Times New Roman" w:hAnsi="Times New Roman"/>
          <w:sz w:val="24"/>
          <w:szCs w:val="24"/>
          <w:lang w:val="bg-BG"/>
        </w:rPr>
      </w:pPr>
    </w:p>
    <w:sectPr w:rsidR="00F86EC7" w:rsidRPr="00A538F8" w:rsidSect="00B07B7C">
      <w:headerReference w:type="default" r:id="rId10"/>
      <w:footerReference w:type="default" r:id="rId11"/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EF2" w:rsidRDefault="000A6EF2">
      <w:r>
        <w:separator/>
      </w:r>
    </w:p>
  </w:endnote>
  <w:endnote w:type="continuationSeparator" w:id="0">
    <w:p w:rsidR="000A6EF2" w:rsidRDefault="000A6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Lt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33" w:rsidRPr="007430B2" w:rsidRDefault="002F70CF" w:rsidP="00B07B7C">
    <w:pPr>
      <w:pStyle w:val="Header"/>
      <w:pBdr>
        <w:top w:val="single" w:sz="4" w:space="1" w:color="auto"/>
      </w:pBdr>
      <w:jc w:val="center"/>
      <w:rPr>
        <w:rFonts w:asciiTheme="minorHAnsi" w:hAnsiTheme="minorHAnsi"/>
        <w:b/>
        <w:color w:val="666699"/>
        <w:sz w:val="16"/>
        <w:szCs w:val="16"/>
      </w:rPr>
    </w:pPr>
    <w:r w:rsidRPr="007430B2">
      <w:rPr>
        <w:rFonts w:asciiTheme="minorHAnsi" w:hAnsiTheme="minorHAnsi"/>
        <w:b/>
        <w:noProof/>
        <w:color w:val="666699"/>
        <w:sz w:val="16"/>
        <w:szCs w:val="16"/>
        <w:lang w:val="en-US"/>
      </w:rPr>
      <w:drawing>
        <wp:inline distT="0" distB="0" distL="0" distR="0">
          <wp:extent cx="5756910" cy="351155"/>
          <wp:effectExtent l="19050" t="0" r="0" b="0"/>
          <wp:docPr id="2" name="Grafik 4" descr="Statement_mit_orangem_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 descr="Statement_mit_orangem_Balk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7545" b="17545"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133" w:rsidRPr="007430B2" w:rsidRDefault="00897133" w:rsidP="00B07B7C">
    <w:pPr>
      <w:pStyle w:val="Header"/>
      <w:pBdr>
        <w:top w:val="single" w:sz="4" w:space="1" w:color="auto"/>
      </w:pBdr>
      <w:spacing w:after="0"/>
      <w:jc w:val="center"/>
      <w:rPr>
        <w:rFonts w:asciiTheme="minorHAnsi" w:hAnsiTheme="minorHAnsi"/>
        <w:b/>
        <w:color w:val="666699"/>
        <w:sz w:val="16"/>
        <w:szCs w:val="16"/>
      </w:rPr>
    </w:pPr>
    <w:r w:rsidRPr="007430B2">
      <w:rPr>
        <w:rFonts w:asciiTheme="minorHAnsi" w:hAnsiTheme="minorHAnsi"/>
        <w:b/>
        <w:color w:val="666699"/>
        <w:sz w:val="16"/>
        <w:szCs w:val="16"/>
      </w:rPr>
      <w:t xml:space="preserve">• Ulbing Consulting GmbH • Firmenbuch: LG Graz fn 102948 w • Firmensitz: A - 8054 Graz, Kärntnerstrasse 355 B, </w:t>
    </w:r>
  </w:p>
  <w:p w:rsidR="00897133" w:rsidRPr="007430B2" w:rsidRDefault="00897133" w:rsidP="00B07B7C">
    <w:pPr>
      <w:pStyle w:val="Header"/>
      <w:pBdr>
        <w:top w:val="single" w:sz="4" w:space="1" w:color="auto"/>
      </w:pBdr>
      <w:spacing w:after="0"/>
      <w:jc w:val="center"/>
      <w:rPr>
        <w:rFonts w:asciiTheme="minorHAnsi" w:hAnsiTheme="minorHAnsi"/>
        <w:b/>
        <w:color w:val="666699"/>
        <w:sz w:val="16"/>
        <w:szCs w:val="16"/>
      </w:rPr>
    </w:pPr>
    <w:r w:rsidRPr="007430B2">
      <w:rPr>
        <w:rFonts w:asciiTheme="minorHAnsi" w:hAnsiTheme="minorHAnsi"/>
        <w:b/>
        <w:color w:val="666699"/>
        <w:sz w:val="16"/>
        <w:szCs w:val="16"/>
      </w:rPr>
      <w:t>• Telefon: +43(0)316 337570 0 • Fax: +43(0)316 337570 9,  Email: office@ulbingconsulting.at • http: //www.ulbingconsulting.at 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EF2" w:rsidRDefault="000A6EF2">
      <w:r>
        <w:separator/>
      </w:r>
    </w:p>
  </w:footnote>
  <w:footnote w:type="continuationSeparator" w:id="0">
    <w:p w:rsidR="000A6EF2" w:rsidRDefault="000A6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133" w:rsidRDefault="002F70CF" w:rsidP="00B07B7C">
    <w:pPr>
      <w:pStyle w:val="Header"/>
      <w:pBdr>
        <w:bottom w:val="single" w:sz="12" w:space="1" w:color="999999"/>
      </w:pBdr>
      <w:spacing w:after="0"/>
      <w:jc w:val="right"/>
    </w:pPr>
    <w:r>
      <w:rPr>
        <w:noProof/>
        <w:lang w:val="en-US"/>
      </w:rPr>
      <w:drawing>
        <wp:inline distT="0" distB="0" distL="0" distR="0">
          <wp:extent cx="6015965" cy="482317"/>
          <wp:effectExtent l="19050" t="0" r="3835" b="0"/>
          <wp:docPr id="1" name="Bild 6" descr="\\10.0.0.3\company2\Bildarchiv\1_Corporate Design\CD Ulbing Consulting\ulbing-consulting LOGO m kl Stat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\\10.0.0.3\company2\Bildarchiv\1_Corporate Design\CD Ulbing Consulting\ulbing-consulting LOGO m kl Statemen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501" cy="48260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</a:scheme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7133" w:rsidRPr="00726AB9" w:rsidRDefault="00897133" w:rsidP="00B07B7C">
    <w:pPr>
      <w:pStyle w:val="Header"/>
      <w:spacing w:after="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67181"/>
    <w:multiLevelType w:val="hybridMultilevel"/>
    <w:tmpl w:val="65805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B179D"/>
    <w:multiLevelType w:val="hybridMultilevel"/>
    <w:tmpl w:val="1C3C68B2"/>
    <w:lvl w:ilvl="0" w:tplc="0407000F">
      <w:start w:val="1"/>
      <w:numFmt w:val="decimal"/>
      <w:lvlText w:val="%1."/>
      <w:lvlJc w:val="left"/>
      <w:pPr>
        <w:tabs>
          <w:tab w:val="num" w:pos="934"/>
        </w:tabs>
        <w:ind w:left="934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2">
    <w:nsid w:val="447E49B9"/>
    <w:multiLevelType w:val="hybridMultilevel"/>
    <w:tmpl w:val="EC0AEA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F52AB9"/>
    <w:multiLevelType w:val="multilevel"/>
    <w:tmpl w:val="C6589EA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AAB34A9"/>
    <w:multiLevelType w:val="hybridMultilevel"/>
    <w:tmpl w:val="EFD0A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5E1A97"/>
    <w:multiLevelType w:val="hybridMultilevel"/>
    <w:tmpl w:val="9110BF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B4201"/>
    <w:multiLevelType w:val="hybridMultilevel"/>
    <w:tmpl w:val="2C2C0022"/>
    <w:lvl w:ilvl="0" w:tplc="2126F2BE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8F7023E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E6DAF"/>
    <w:multiLevelType w:val="hybridMultilevel"/>
    <w:tmpl w:val="178CD1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EE4"/>
    <w:rsid w:val="00015358"/>
    <w:rsid w:val="00045F12"/>
    <w:rsid w:val="0006129B"/>
    <w:rsid w:val="000936A5"/>
    <w:rsid w:val="000A6EF2"/>
    <w:rsid w:val="000C442E"/>
    <w:rsid w:val="000D7E88"/>
    <w:rsid w:val="000E0C65"/>
    <w:rsid w:val="000E1A04"/>
    <w:rsid w:val="00120756"/>
    <w:rsid w:val="00121C99"/>
    <w:rsid w:val="00135AC7"/>
    <w:rsid w:val="00146155"/>
    <w:rsid w:val="00147495"/>
    <w:rsid w:val="00155FC5"/>
    <w:rsid w:val="00166FE7"/>
    <w:rsid w:val="00170A16"/>
    <w:rsid w:val="001719B8"/>
    <w:rsid w:val="001A29A5"/>
    <w:rsid w:val="001D23DB"/>
    <w:rsid w:val="00217A9F"/>
    <w:rsid w:val="00246ADF"/>
    <w:rsid w:val="00264857"/>
    <w:rsid w:val="0027088D"/>
    <w:rsid w:val="002754E9"/>
    <w:rsid w:val="002A5862"/>
    <w:rsid w:val="002F18D6"/>
    <w:rsid w:val="002F70CF"/>
    <w:rsid w:val="00310C39"/>
    <w:rsid w:val="0032095C"/>
    <w:rsid w:val="003258A2"/>
    <w:rsid w:val="003460CE"/>
    <w:rsid w:val="00352D5C"/>
    <w:rsid w:val="00362CFE"/>
    <w:rsid w:val="00372010"/>
    <w:rsid w:val="00386993"/>
    <w:rsid w:val="003A175C"/>
    <w:rsid w:val="003A37E0"/>
    <w:rsid w:val="003B2D5B"/>
    <w:rsid w:val="00446C3D"/>
    <w:rsid w:val="004C2FBA"/>
    <w:rsid w:val="004E3EB0"/>
    <w:rsid w:val="004E4F82"/>
    <w:rsid w:val="004F0B9B"/>
    <w:rsid w:val="00525EEB"/>
    <w:rsid w:val="0053589F"/>
    <w:rsid w:val="005433A2"/>
    <w:rsid w:val="00544B29"/>
    <w:rsid w:val="005C0D35"/>
    <w:rsid w:val="00645F52"/>
    <w:rsid w:val="00657AF6"/>
    <w:rsid w:val="006A53AF"/>
    <w:rsid w:val="006F5386"/>
    <w:rsid w:val="00722C5E"/>
    <w:rsid w:val="007238E6"/>
    <w:rsid w:val="00734626"/>
    <w:rsid w:val="007430B2"/>
    <w:rsid w:val="00743271"/>
    <w:rsid w:val="007731DC"/>
    <w:rsid w:val="00773C8B"/>
    <w:rsid w:val="007C403C"/>
    <w:rsid w:val="007E64E1"/>
    <w:rsid w:val="007F701D"/>
    <w:rsid w:val="00816D9A"/>
    <w:rsid w:val="008547DA"/>
    <w:rsid w:val="00863E19"/>
    <w:rsid w:val="008748BF"/>
    <w:rsid w:val="00890EE4"/>
    <w:rsid w:val="00897133"/>
    <w:rsid w:val="008B34AA"/>
    <w:rsid w:val="008D7D94"/>
    <w:rsid w:val="008E378E"/>
    <w:rsid w:val="00903534"/>
    <w:rsid w:val="009214C6"/>
    <w:rsid w:val="009225A8"/>
    <w:rsid w:val="00926387"/>
    <w:rsid w:val="00954FE9"/>
    <w:rsid w:val="00986759"/>
    <w:rsid w:val="009868C5"/>
    <w:rsid w:val="009878B0"/>
    <w:rsid w:val="009A68F3"/>
    <w:rsid w:val="009F1E1F"/>
    <w:rsid w:val="00A053D8"/>
    <w:rsid w:val="00A37B80"/>
    <w:rsid w:val="00A42397"/>
    <w:rsid w:val="00A538F8"/>
    <w:rsid w:val="00A60A36"/>
    <w:rsid w:val="00A648A6"/>
    <w:rsid w:val="00A95B6E"/>
    <w:rsid w:val="00AA73DE"/>
    <w:rsid w:val="00AF7554"/>
    <w:rsid w:val="00B07B7C"/>
    <w:rsid w:val="00B10763"/>
    <w:rsid w:val="00B133B9"/>
    <w:rsid w:val="00B15658"/>
    <w:rsid w:val="00B2541C"/>
    <w:rsid w:val="00B82C9A"/>
    <w:rsid w:val="00BA6A42"/>
    <w:rsid w:val="00BB3FD8"/>
    <w:rsid w:val="00BD3E39"/>
    <w:rsid w:val="00BE1531"/>
    <w:rsid w:val="00BE40BE"/>
    <w:rsid w:val="00C35AE4"/>
    <w:rsid w:val="00C41E10"/>
    <w:rsid w:val="00C55156"/>
    <w:rsid w:val="00C84C6D"/>
    <w:rsid w:val="00D069C2"/>
    <w:rsid w:val="00D15C46"/>
    <w:rsid w:val="00D162BB"/>
    <w:rsid w:val="00D20670"/>
    <w:rsid w:val="00D227CC"/>
    <w:rsid w:val="00D23694"/>
    <w:rsid w:val="00D8166E"/>
    <w:rsid w:val="00D82E48"/>
    <w:rsid w:val="00D9353B"/>
    <w:rsid w:val="00DB29C8"/>
    <w:rsid w:val="00DD32E6"/>
    <w:rsid w:val="00E24A69"/>
    <w:rsid w:val="00E55230"/>
    <w:rsid w:val="00E568C4"/>
    <w:rsid w:val="00E762FB"/>
    <w:rsid w:val="00E77316"/>
    <w:rsid w:val="00E8702D"/>
    <w:rsid w:val="00E94938"/>
    <w:rsid w:val="00EA708E"/>
    <w:rsid w:val="00EA788F"/>
    <w:rsid w:val="00EB1C4D"/>
    <w:rsid w:val="00EB3724"/>
    <w:rsid w:val="00ED4055"/>
    <w:rsid w:val="00F16FC9"/>
    <w:rsid w:val="00F45CF9"/>
    <w:rsid w:val="00F6365A"/>
    <w:rsid w:val="00F86EC7"/>
    <w:rsid w:val="00F87731"/>
    <w:rsid w:val="00F9255C"/>
    <w:rsid w:val="00FA6985"/>
    <w:rsid w:val="00FB7D8E"/>
    <w:rsid w:val="00FC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EE4"/>
    <w:pPr>
      <w:spacing w:after="200" w:line="276" w:lineRule="auto"/>
    </w:pPr>
    <w:rPr>
      <w:rFonts w:ascii="Calibri" w:eastAsia="Calibri" w:hAnsi="Calibri"/>
      <w:sz w:val="22"/>
      <w:szCs w:val="22"/>
      <w:lang w:val="de-DE" w:eastAsia="en-US"/>
    </w:rPr>
  </w:style>
  <w:style w:type="paragraph" w:styleId="Heading1">
    <w:name w:val="heading 1"/>
    <w:basedOn w:val="Normal"/>
    <w:next w:val="Normal"/>
    <w:link w:val="Heading1Char"/>
    <w:qFormat/>
    <w:rsid w:val="00890EE4"/>
    <w:pPr>
      <w:keepNext/>
      <w:numPr>
        <w:numId w:val="1"/>
      </w:numPr>
      <w:spacing w:before="240"/>
      <w:outlineLvl w:val="0"/>
    </w:pPr>
    <w:rPr>
      <w:rFonts w:ascii="Garamond" w:hAnsi="Garamond"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qFormat/>
    <w:rsid w:val="00890EE4"/>
    <w:pPr>
      <w:keepNext/>
      <w:numPr>
        <w:ilvl w:val="1"/>
        <w:numId w:val="1"/>
      </w:numPr>
      <w:spacing w:before="240" w:after="60"/>
      <w:outlineLvl w:val="1"/>
    </w:pPr>
    <w:rPr>
      <w:rFonts w:ascii="Garamond" w:hAnsi="Garamon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90EE4"/>
    <w:pPr>
      <w:keepNext/>
      <w:numPr>
        <w:ilvl w:val="2"/>
        <w:numId w:val="1"/>
      </w:numPr>
      <w:spacing w:before="240" w:after="60"/>
      <w:outlineLvl w:val="2"/>
    </w:pPr>
    <w:rPr>
      <w:rFonts w:ascii="Garamond" w:hAnsi="Garamond"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890EE4"/>
    <w:pPr>
      <w:keepNext/>
      <w:numPr>
        <w:ilvl w:val="3"/>
        <w:numId w:val="1"/>
      </w:numPr>
      <w:spacing w:before="240" w:after="60"/>
      <w:outlineLvl w:val="3"/>
    </w:pPr>
    <w:rPr>
      <w:rFonts w:ascii="Garamond" w:hAnsi="Garamond"/>
      <w:bCs/>
      <w:sz w:val="24"/>
      <w:szCs w:val="28"/>
      <w:u w:val="single"/>
    </w:rPr>
  </w:style>
  <w:style w:type="paragraph" w:styleId="Heading5">
    <w:name w:val="heading 5"/>
    <w:basedOn w:val="Normal"/>
    <w:next w:val="Normal"/>
    <w:qFormat/>
    <w:rsid w:val="00890EE4"/>
    <w:pPr>
      <w:numPr>
        <w:ilvl w:val="4"/>
        <w:numId w:val="1"/>
      </w:numPr>
      <w:spacing w:before="240" w:after="60"/>
      <w:outlineLvl w:val="4"/>
    </w:pPr>
    <w:rPr>
      <w:rFonts w:ascii="Garamond" w:hAnsi="Garamond"/>
      <w:bCs/>
      <w:iCs/>
      <w:sz w:val="24"/>
      <w:szCs w:val="26"/>
      <w:u w:val="single"/>
    </w:rPr>
  </w:style>
  <w:style w:type="paragraph" w:styleId="Heading6">
    <w:name w:val="heading 6"/>
    <w:basedOn w:val="Normal"/>
    <w:next w:val="Normal"/>
    <w:qFormat/>
    <w:rsid w:val="00890EE4"/>
    <w:pPr>
      <w:numPr>
        <w:ilvl w:val="5"/>
        <w:numId w:val="1"/>
      </w:numPr>
      <w:spacing w:before="240" w:after="60"/>
      <w:outlineLvl w:val="5"/>
    </w:pPr>
    <w:rPr>
      <w:rFonts w:ascii="Garamond" w:hAnsi="Garamond"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890EE4"/>
    <w:pPr>
      <w:numPr>
        <w:ilvl w:val="6"/>
        <w:numId w:val="1"/>
      </w:numPr>
      <w:spacing w:before="240" w:after="60"/>
      <w:outlineLvl w:val="6"/>
    </w:pPr>
    <w:rPr>
      <w:rFonts w:ascii="Garamond" w:hAnsi="Garamond"/>
      <w:sz w:val="24"/>
      <w:szCs w:val="24"/>
      <w:u w:val="single"/>
    </w:rPr>
  </w:style>
  <w:style w:type="paragraph" w:styleId="Heading8">
    <w:name w:val="heading 8"/>
    <w:basedOn w:val="Normal"/>
    <w:next w:val="Normal"/>
    <w:qFormat/>
    <w:rsid w:val="00890EE4"/>
    <w:pPr>
      <w:numPr>
        <w:ilvl w:val="7"/>
        <w:numId w:val="1"/>
      </w:numPr>
      <w:spacing w:before="240" w:after="60"/>
      <w:outlineLvl w:val="7"/>
    </w:pPr>
    <w:rPr>
      <w:rFonts w:ascii="Garamond" w:hAnsi="Garamond"/>
      <w:iCs/>
      <w:sz w:val="24"/>
      <w:szCs w:val="24"/>
      <w:u w:val="single"/>
    </w:rPr>
  </w:style>
  <w:style w:type="paragraph" w:styleId="Heading9">
    <w:name w:val="heading 9"/>
    <w:basedOn w:val="Normal"/>
    <w:next w:val="Normal"/>
    <w:qFormat/>
    <w:rsid w:val="00890EE4"/>
    <w:pPr>
      <w:numPr>
        <w:ilvl w:val="8"/>
        <w:numId w:val="1"/>
      </w:numPr>
      <w:outlineLvl w:val="8"/>
    </w:pPr>
    <w:rPr>
      <w:rFonts w:ascii="Garamond" w:hAnsi="Garamond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90EE4"/>
    <w:pPr>
      <w:tabs>
        <w:tab w:val="center" w:pos="4536"/>
        <w:tab w:val="right" w:pos="9072"/>
      </w:tabs>
    </w:pPr>
  </w:style>
  <w:style w:type="paragraph" w:styleId="TOC1">
    <w:name w:val="toc 1"/>
    <w:basedOn w:val="Normal"/>
    <w:next w:val="Normal"/>
    <w:autoRedefine/>
    <w:rsid w:val="00890EE4"/>
  </w:style>
  <w:style w:type="paragraph" w:styleId="TOC2">
    <w:name w:val="toc 2"/>
    <w:basedOn w:val="Normal"/>
    <w:next w:val="Normal"/>
    <w:autoRedefine/>
    <w:rsid w:val="00890EE4"/>
    <w:pPr>
      <w:ind w:left="220"/>
    </w:pPr>
  </w:style>
  <w:style w:type="character" w:styleId="Hyperlink">
    <w:name w:val="Hyperlink"/>
    <w:basedOn w:val="DefaultParagraphFont"/>
    <w:rsid w:val="00890EE4"/>
    <w:rPr>
      <w:rFonts w:ascii="Futura Lt BT" w:hAnsi="Futura Lt BT"/>
      <w:color w:val="0000FF"/>
      <w:sz w:val="22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890EE4"/>
    <w:rPr>
      <w:rFonts w:ascii="Garamond" w:eastAsia="Calibri" w:hAnsi="Garamond" w:cs="Arial"/>
      <w:b/>
      <w:bCs/>
      <w:kern w:val="32"/>
      <w:sz w:val="36"/>
      <w:szCs w:val="32"/>
      <w:lang w:val="de-DE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890EE4"/>
    <w:rPr>
      <w:rFonts w:ascii="Garamond" w:eastAsia="Calibri" w:hAnsi="Garamond" w:cs="Arial"/>
      <w:b/>
      <w:bCs/>
      <w:iCs/>
      <w:sz w:val="28"/>
      <w:szCs w:val="28"/>
      <w:lang w:val="de-DE" w:eastAsia="en-US" w:bidi="ar-SA"/>
    </w:rPr>
  </w:style>
  <w:style w:type="paragraph" w:styleId="ListParagraph">
    <w:name w:val="List Paragraph"/>
    <w:basedOn w:val="Normal"/>
    <w:qFormat/>
    <w:rsid w:val="00890EE4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90EE4"/>
    <w:rPr>
      <w:rFonts w:ascii="Calibri" w:eastAsia="Calibri" w:hAnsi="Calibri"/>
      <w:sz w:val="22"/>
      <w:szCs w:val="22"/>
      <w:lang w:val="de-DE" w:eastAsia="en-US" w:bidi="ar-SA"/>
    </w:rPr>
  </w:style>
  <w:style w:type="paragraph" w:styleId="BalloonText">
    <w:name w:val="Balloon Text"/>
    <w:basedOn w:val="Normal"/>
    <w:link w:val="BalloonTextChar"/>
    <w:rsid w:val="00954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54FE9"/>
    <w:rPr>
      <w:rFonts w:ascii="Tahoma" w:eastAsia="Calibri" w:hAnsi="Tahoma" w:cs="Tahoma"/>
      <w:sz w:val="16"/>
      <w:szCs w:val="16"/>
      <w:lang w:val="de-DE" w:eastAsia="en-US"/>
    </w:rPr>
  </w:style>
  <w:style w:type="paragraph" w:styleId="Footer">
    <w:name w:val="footer"/>
    <w:basedOn w:val="Normal"/>
    <w:link w:val="FooterChar"/>
    <w:rsid w:val="00743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0B2"/>
    <w:rPr>
      <w:rFonts w:ascii="Calibri" w:eastAsia="Calibri" w:hAnsi="Calibri"/>
      <w:sz w:val="22"/>
      <w:szCs w:val="22"/>
      <w:lang w:val="de-DE" w:eastAsia="en-US"/>
    </w:rPr>
  </w:style>
  <w:style w:type="character" w:styleId="Emphasis">
    <w:name w:val="Emphasis"/>
    <w:basedOn w:val="DefaultParagraphFont"/>
    <w:qFormat/>
    <w:rsid w:val="001A29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Целеви групи</vt:lpstr>
      <vt:lpstr>    Квалификация на системен консултант</vt:lpstr>
      <vt:lpstr>    Правоспособност като сертифициран консултанти по междуличности отношения (CBFC) </vt:lpstr>
      <vt:lpstr>Длъжностна характеристика „сертифициран консултант по развитие на междуличностни</vt:lpstr>
      <vt:lpstr>Условия за достъп</vt:lpstr>
      <vt:lpstr>Методи</vt:lpstr>
      <vt:lpstr>Модули на обучението на консултанти</vt:lpstr>
      <vt:lpstr>    Модул I: Развитие на потенциала – 2 дни</vt:lpstr>
      <vt:lpstr>    Модул II: Основи на системното консултиране – 3 дни</vt:lpstr>
      <vt:lpstr>    Модул III: Процесът на консултиране – 3 дни </vt:lpstr>
      <vt:lpstr>    Модул IV: Дизайн и методи на консултирането – 2 дни</vt:lpstr>
      <vt:lpstr>Водещи на обучението на консултанти CBFC</vt:lpstr>
      <vt:lpstr>Вашите инвестиции</vt:lpstr>
      <vt:lpstr>    Модули – основи и процеси на системното консултиране</vt:lpstr>
      <vt:lpstr>    Модули – архитектура на консултирането, методи и дизайн</vt:lpstr>
    </vt:vector>
  </TitlesOfParts>
  <Company/>
  <LinksUpToDate>false</LinksUpToDate>
  <CharactersWithSpaces>4122</CharactersWithSpaces>
  <SharedDoc>false</SharedDoc>
  <HLinks>
    <vt:vector size="90" baseType="variant"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_Toc338791586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_Toc338791585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_Toc338791584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_Toc338791583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_Toc338791582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_Toc338791581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_Toc338791580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_Toc338791579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_Toc338791578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_Toc338791577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_Toc338791576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_Toc338791575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_Toc338791574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_Toc338791573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_Toc338791572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Bojidar</dc:creator>
  <cp:lastModifiedBy>petroslav</cp:lastModifiedBy>
  <cp:revision>4</cp:revision>
  <dcterms:created xsi:type="dcterms:W3CDTF">2013-02-12T08:23:00Z</dcterms:created>
  <dcterms:modified xsi:type="dcterms:W3CDTF">2013-02-12T08:28:00Z</dcterms:modified>
</cp:coreProperties>
</file>